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E7" w:rsidRDefault="007738E7" w:rsidP="007738E7">
      <w:pPr>
        <w:tabs>
          <w:tab w:val="left" w:pos="7200"/>
          <w:tab w:val="left" w:pos="7380"/>
          <w:tab w:val="left" w:pos="7560"/>
        </w:tabs>
        <w:ind w:leftChars="1" w:left="1548" w:hangingChars="483" w:hanging="1546"/>
        <w:rPr>
          <w:rFonts w:ascii="黑体" w:eastAsia="黑体" w:hAnsi="黑体"/>
          <w:sz w:val="32"/>
          <w:szCs w:val="32"/>
        </w:rPr>
      </w:pPr>
      <w:r>
        <w:rPr>
          <w:rFonts w:ascii="黑体" w:eastAsia="黑体" w:hAnsi="黑体" w:hint="eastAsia"/>
          <w:sz w:val="32"/>
          <w:szCs w:val="32"/>
        </w:rPr>
        <w:t>附件</w:t>
      </w:r>
    </w:p>
    <w:p w:rsidR="007738E7" w:rsidRDefault="007738E7" w:rsidP="007738E7">
      <w:pPr>
        <w:jc w:val="left"/>
        <w:rPr>
          <w:rFonts w:ascii="黑体" w:eastAsia="黑体" w:hAnsi="黑体"/>
          <w:sz w:val="32"/>
          <w:szCs w:val="32"/>
        </w:rPr>
      </w:pPr>
    </w:p>
    <w:p w:rsidR="007738E7" w:rsidRDefault="007738E7" w:rsidP="007738E7">
      <w:pPr>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2015年12月份已批准药品上市品种目录</w:t>
      </w:r>
    </w:p>
    <w:tbl>
      <w:tblPr>
        <w:tblW w:w="14055" w:type="dxa"/>
        <w:jc w:val="center"/>
        <w:tblInd w:w="93" w:type="dxa"/>
        <w:tblLayout w:type="fixed"/>
        <w:tblLook w:val="04A0"/>
      </w:tblPr>
      <w:tblGrid>
        <w:gridCol w:w="724"/>
        <w:gridCol w:w="805"/>
        <w:gridCol w:w="1232"/>
        <w:gridCol w:w="1600"/>
        <w:gridCol w:w="1043"/>
        <w:gridCol w:w="1457"/>
        <w:gridCol w:w="954"/>
        <w:gridCol w:w="2127"/>
        <w:gridCol w:w="1277"/>
        <w:gridCol w:w="1134"/>
        <w:gridCol w:w="1702"/>
      </w:tblGrid>
      <w:tr w:rsidR="007738E7" w:rsidTr="007738E7">
        <w:trPr>
          <w:trHeight w:val="360"/>
          <w:tblHeader/>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序号</w:t>
            </w:r>
          </w:p>
        </w:tc>
        <w:tc>
          <w:tcPr>
            <w:tcW w:w="805"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类别</w:t>
            </w:r>
          </w:p>
        </w:tc>
        <w:tc>
          <w:tcPr>
            <w:tcW w:w="1231"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药品名称</w:t>
            </w:r>
          </w:p>
        </w:tc>
        <w:tc>
          <w:tcPr>
            <w:tcW w:w="1599"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英文名称</w:t>
            </w:r>
          </w:p>
        </w:tc>
        <w:tc>
          <w:tcPr>
            <w:tcW w:w="1043"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类 别</w:t>
            </w:r>
          </w:p>
        </w:tc>
        <w:tc>
          <w:tcPr>
            <w:tcW w:w="145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规格</w:t>
            </w:r>
          </w:p>
        </w:tc>
        <w:tc>
          <w:tcPr>
            <w:tcW w:w="954"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剂型</w:t>
            </w:r>
          </w:p>
        </w:tc>
        <w:tc>
          <w:tcPr>
            <w:tcW w:w="212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color w:val="000000"/>
                <w:kern w:val="0"/>
                <w:szCs w:val="21"/>
              </w:rPr>
            </w:pPr>
            <w:r>
              <w:rPr>
                <w:rFonts w:ascii="宋体" w:hAnsi="宋体" w:cs="宋体" w:hint="eastAsia"/>
                <w:b/>
                <w:bCs/>
                <w:color w:val="000000"/>
                <w:kern w:val="0"/>
                <w:szCs w:val="21"/>
              </w:rPr>
              <w:t>适应症</w:t>
            </w:r>
          </w:p>
        </w:tc>
        <w:tc>
          <w:tcPr>
            <w:tcW w:w="127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生产企业</w:t>
            </w:r>
          </w:p>
        </w:tc>
        <w:tc>
          <w:tcPr>
            <w:tcW w:w="1134"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kern w:val="0"/>
                <w:szCs w:val="21"/>
              </w:rPr>
            </w:pPr>
            <w:r>
              <w:rPr>
                <w:rFonts w:ascii="宋体" w:hAnsi="宋体" w:cs="宋体" w:hint="eastAsia"/>
                <w:b/>
                <w:bCs/>
                <w:kern w:val="0"/>
                <w:szCs w:val="21"/>
              </w:rPr>
              <w:t>新药证书持有者</w:t>
            </w:r>
          </w:p>
        </w:tc>
        <w:tc>
          <w:tcPr>
            <w:tcW w:w="1701"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b/>
                <w:bCs/>
                <w:color w:val="000000"/>
                <w:kern w:val="0"/>
                <w:szCs w:val="21"/>
              </w:rPr>
            </w:pPr>
            <w:r>
              <w:rPr>
                <w:rFonts w:ascii="宋体" w:hAnsi="宋体" w:cs="宋体" w:hint="eastAsia"/>
                <w:b/>
                <w:bCs/>
                <w:color w:val="000000"/>
                <w:kern w:val="0"/>
                <w:szCs w:val="21"/>
              </w:rPr>
              <w:t>药品批准文号/注册证号</w:t>
            </w:r>
          </w:p>
        </w:tc>
      </w:tr>
      <w:tr w:rsidR="007738E7" w:rsidTr="007738E7">
        <w:trPr>
          <w:trHeight w:val="2325"/>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预防用生物制品1类</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肠道病毒71型灭活疫苗（人二倍体细胞）</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Enterovirus Type 71 Vaccine, Inactivated（Human Diploid cell）</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预防用生物制品1类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每瓶（支）0.5ml，每1人次剂量为0.5 ml，含肠道病毒71型灭活疫苗中和抗体效价不低于3.0EU（EU代表中和抗体效价单位）</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注射剂</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接种本品可刺激机体产生抗EV71的免疫力，用于预防EV71感染所致的手足口病。但本品不能预防其他肠道病毒（包括柯萨奇A组16型等病毒）感染所致的手足口病</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中国医学科学院医学生物学研究所</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中国医学科学院医学生物学研究所</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bookmarkStart w:id="0" w:name="RANGE!K2:K10"/>
            <w:r>
              <w:rPr>
                <w:rFonts w:ascii="宋体" w:hAnsi="宋体" w:cs="宋体" w:hint="eastAsia"/>
                <w:color w:val="000000"/>
                <w:kern w:val="0"/>
                <w:szCs w:val="21"/>
              </w:rPr>
              <w:t>国药准字S20150016</w:t>
            </w:r>
            <w:bookmarkEnd w:id="0"/>
          </w:p>
        </w:tc>
      </w:tr>
      <w:tr w:rsidR="007738E7" w:rsidTr="007738E7">
        <w:trPr>
          <w:trHeight w:val="1920"/>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预防用生物制品1类</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肠道病毒71型灭活疫苗（Vero细胞）</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Enterovirus Type 71 Vaccine（Vero Cell），Inactivated</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预防用生物制品1类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每瓶（支）0.5ml，每1人次剂量为0.5 ml，含肠道病毒71型灭活疫苗中</w:t>
            </w:r>
            <w:r>
              <w:rPr>
                <w:rFonts w:ascii="宋体" w:hAnsi="宋体" w:cs="宋体" w:hint="eastAsia"/>
                <w:color w:val="000000"/>
                <w:kern w:val="0"/>
                <w:szCs w:val="21"/>
              </w:rPr>
              <w:lastRenderedPageBreak/>
              <w:t>和抗体效价不低于3.0EU(EU代表中和抗体效价单位)</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注射剂</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接种本品可刺激机体产生抗EV71的免疫力，用于预防EV71感染所致的手足口病。但本品不能预防其他肠道病毒（包括</w:t>
            </w:r>
            <w:r>
              <w:rPr>
                <w:rFonts w:ascii="宋体" w:hAnsi="宋体" w:cs="宋体" w:hint="eastAsia"/>
                <w:color w:val="000000"/>
                <w:kern w:val="0"/>
                <w:szCs w:val="21"/>
              </w:rPr>
              <w:lastRenderedPageBreak/>
              <w:t>柯萨奇A组16型等病毒）感染所致的手足口病</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北京科兴生物制品有限公司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北京科兴生物制品有限公司</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国药准字S20150017</w:t>
            </w:r>
          </w:p>
        </w:tc>
      </w:tr>
      <w:tr w:rsidR="007738E7" w:rsidTr="007738E7">
        <w:trPr>
          <w:trHeight w:val="700"/>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阿托伐他汀钙</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Atorvastatin Calcium</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原料药</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原料药</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常州亚邦制药有限公司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国药准字H20153280</w:t>
            </w:r>
          </w:p>
        </w:tc>
      </w:tr>
      <w:tr w:rsidR="007738E7" w:rsidTr="007738E7">
        <w:trPr>
          <w:trHeight w:val="210"/>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伏格列波糖</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Voglibose</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原料药</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原料药</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无锡药兴医药科技有限公司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 xml:space="preserve"> 国药准字H20153281</w:t>
            </w:r>
          </w:p>
        </w:tc>
      </w:tr>
      <w:tr w:rsidR="007738E7" w:rsidTr="007738E7">
        <w:trPr>
          <w:trHeight w:val="360"/>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达肝素钠</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Dalteparin Sodium</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原料药</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原料药</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常州千红生化制药股份有限公司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 xml:space="preserve"> 国药准字H20153299</w:t>
            </w:r>
          </w:p>
        </w:tc>
      </w:tr>
      <w:tr w:rsidR="007738E7" w:rsidTr="007738E7">
        <w:trPr>
          <w:trHeight w:val="1395"/>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805"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达肝素钠注射液</w:t>
            </w:r>
          </w:p>
        </w:tc>
        <w:tc>
          <w:tcPr>
            <w:tcW w:w="1599"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Dalteparin Sodium Injection</w:t>
            </w:r>
          </w:p>
        </w:tc>
        <w:tc>
          <w:tcPr>
            <w:tcW w:w="1043"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（1）0.2ml：2500IU抗Xa   （2）0.4ml：5000IU抗Xa</w:t>
            </w:r>
          </w:p>
        </w:tc>
        <w:tc>
          <w:tcPr>
            <w:tcW w:w="954"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 xml:space="preserve">注射剂　</w:t>
            </w:r>
          </w:p>
        </w:tc>
        <w:tc>
          <w:tcPr>
            <w:tcW w:w="2126" w:type="dxa"/>
            <w:tcBorders>
              <w:top w:val="single" w:sz="4" w:space="0" w:color="auto"/>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治疗急性深静脉血栓。预防急性肾功能衰竭或慢性肾功能不全者进行血液透析和血液过滤期间体外循环系统中的凝血。治疗不稳定型冠状动脉疾病，如：不稳定型心绞痛和非Q波型心肌梗死。预防与手术</w:t>
            </w:r>
            <w:r>
              <w:rPr>
                <w:rFonts w:ascii="宋体" w:hAnsi="宋体" w:cs="宋体" w:hint="eastAsia"/>
                <w:color w:val="000000"/>
                <w:kern w:val="0"/>
                <w:szCs w:val="21"/>
              </w:rPr>
              <w:lastRenderedPageBreak/>
              <w:t>有关的血栓形成</w:t>
            </w:r>
          </w:p>
        </w:tc>
        <w:tc>
          <w:tcPr>
            <w:tcW w:w="127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常州千红生化制药股份有限公司</w:t>
            </w:r>
          </w:p>
        </w:tc>
        <w:tc>
          <w:tcPr>
            <w:tcW w:w="1134"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 xml:space="preserve"> 国药准字H20153300</w:t>
            </w:r>
            <w:r>
              <w:rPr>
                <w:rFonts w:ascii="宋体" w:hAnsi="宋体" w:cs="宋体" w:hint="eastAsia"/>
                <w:color w:val="000000"/>
                <w:kern w:val="0"/>
                <w:szCs w:val="21"/>
              </w:rPr>
              <w:br/>
              <w:t xml:space="preserve"> 国药准字H20153301</w:t>
            </w:r>
          </w:p>
        </w:tc>
      </w:tr>
      <w:tr w:rsidR="007738E7" w:rsidTr="007738E7">
        <w:trPr>
          <w:trHeight w:val="210"/>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7</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盐酸法舒地尔</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Fasudil Hydrochloride</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原料药</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原料药</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福州海王福药制药有限公司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 xml:space="preserve"> 国药准字H20153302</w:t>
            </w:r>
          </w:p>
        </w:tc>
      </w:tr>
      <w:tr w:rsidR="007738E7" w:rsidTr="007738E7">
        <w:trPr>
          <w:trHeight w:val="360"/>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盐酸法舒地尔注射液</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Fasudil Hydrochloride Injection</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2ml:30mg</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注射剂</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改善和预防蛛网膜下腔出血术后的脑血管痉挛及其引起的脑缺血症状</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福州海王福药制药有限公司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 xml:space="preserve"> 国药准字H20153303</w:t>
            </w:r>
          </w:p>
        </w:tc>
      </w:tr>
      <w:tr w:rsidR="007738E7" w:rsidTr="007738E7">
        <w:trPr>
          <w:trHeight w:val="1501"/>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白消安注射液</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Busulfan Injection</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100ml:60mg</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注射剂</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本品适用于联合环磷酰胺，作为慢性髓性白血病同种异体的造血祖细胞移植前的预处理方案</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青岛海大科技制药有限公司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国药准字H20153304</w:t>
            </w:r>
          </w:p>
        </w:tc>
      </w:tr>
      <w:tr w:rsidR="007738E7" w:rsidTr="007738E7">
        <w:trPr>
          <w:trHeight w:val="1139"/>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替加氟</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Tegafur</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化药6类</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8.400Kg/桶</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原料药</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原料药</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江苏盛迪医药有限公司</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国药准字H20153309</w:t>
            </w:r>
          </w:p>
        </w:tc>
      </w:tr>
      <w:tr w:rsidR="007738E7" w:rsidTr="007738E7">
        <w:trPr>
          <w:trHeight w:val="2684"/>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11</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多替拉韦钠片</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Dolutegravir Sodium Tablets</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w:t>
            </w:r>
          </w:p>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药品</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50mg(以多替拉韦计)</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片剂</w:t>
            </w:r>
          </w:p>
        </w:tc>
        <w:tc>
          <w:tcPr>
            <w:tcW w:w="2126" w:type="dxa"/>
            <w:tcBorders>
              <w:top w:val="nil"/>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本品联合其他抗逆转录病毒药物，用于治疗人类免疫缺陷病毒（HIV）感染的成人和年满12岁的儿童患者</w:t>
            </w:r>
          </w:p>
        </w:tc>
        <w:tc>
          <w:tcPr>
            <w:tcW w:w="127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Glaxo Operations UK Ltd（trading as Glaxo</w:t>
            </w:r>
            <w:r>
              <w:rPr>
                <w:rFonts w:ascii="宋体" w:hAnsi="宋体" w:cs="宋体" w:hint="eastAsia"/>
                <w:color w:val="000000"/>
                <w:spacing w:val="-10"/>
                <w:kern w:val="0"/>
                <w:szCs w:val="21"/>
              </w:rPr>
              <w:t>Wellcome Operations）</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H20150683</w:t>
            </w:r>
          </w:p>
        </w:tc>
      </w:tr>
      <w:tr w:rsidR="007738E7" w:rsidTr="007738E7">
        <w:trPr>
          <w:trHeight w:val="4239"/>
          <w:jc w:val="center"/>
        </w:trPr>
        <w:tc>
          <w:tcPr>
            <w:tcW w:w="724"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05"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化学药品</w:t>
            </w:r>
          </w:p>
        </w:tc>
        <w:tc>
          <w:tcPr>
            <w:tcW w:w="123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恩曲利替片</w:t>
            </w:r>
          </w:p>
        </w:tc>
        <w:tc>
          <w:tcPr>
            <w:tcW w:w="1599"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EmtricitabineRilpivirine and TenofovirDisoproxilFumarate Tablets</w:t>
            </w:r>
          </w:p>
        </w:tc>
        <w:tc>
          <w:tcPr>
            <w:tcW w:w="1043"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化学</w:t>
            </w:r>
          </w:p>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药品</w:t>
            </w:r>
          </w:p>
        </w:tc>
        <w:tc>
          <w:tcPr>
            <w:tcW w:w="1456"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本品为片剂。每片含200mg恩曲他滨、27.5mg盐酸利匹韦林（相当于25mg利匹韦林）和300mg富马酸替诺福韦酯（相当于245mg替诺福韦酯）</w:t>
            </w:r>
          </w:p>
        </w:tc>
        <w:tc>
          <w:tcPr>
            <w:tcW w:w="95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片剂</w:t>
            </w:r>
          </w:p>
        </w:tc>
        <w:tc>
          <w:tcPr>
            <w:tcW w:w="2126" w:type="dxa"/>
            <w:tcBorders>
              <w:top w:val="single" w:sz="4" w:space="0" w:color="auto"/>
              <w:left w:val="nil"/>
              <w:bottom w:val="single" w:sz="4" w:space="0" w:color="auto"/>
              <w:right w:val="nil"/>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适用于治疗</w:t>
            </w:r>
            <w:r>
              <w:rPr>
                <w:color w:val="000000"/>
                <w:kern w:val="0"/>
                <w:szCs w:val="21"/>
              </w:rPr>
              <w:t>HIV-1 RNA</w:t>
            </w:r>
            <w:r>
              <w:rPr>
                <w:rFonts w:ascii="宋体" w:hAnsi="宋体" w:cs="宋体" w:hint="eastAsia"/>
                <w:color w:val="000000"/>
                <w:kern w:val="0"/>
                <w:szCs w:val="21"/>
              </w:rPr>
              <w:t>水平</w:t>
            </w:r>
            <w:r>
              <w:rPr>
                <w:color w:val="000000"/>
                <w:kern w:val="0"/>
                <w:szCs w:val="21"/>
              </w:rPr>
              <w:t>≤100,000</w:t>
            </w:r>
            <w:r>
              <w:rPr>
                <w:rFonts w:ascii="宋体" w:hAnsi="宋体" w:cs="宋体" w:hint="eastAsia"/>
                <w:color w:val="000000"/>
                <w:kern w:val="0"/>
                <w:szCs w:val="21"/>
              </w:rPr>
              <w:t>拷贝</w:t>
            </w:r>
            <w:r>
              <w:rPr>
                <w:color w:val="000000"/>
                <w:kern w:val="0"/>
                <w:szCs w:val="21"/>
              </w:rPr>
              <w:t>/mL</w:t>
            </w:r>
            <w:r>
              <w:rPr>
                <w:rFonts w:ascii="宋体" w:hAnsi="宋体" w:cs="宋体" w:hint="eastAsia"/>
                <w:color w:val="000000"/>
                <w:kern w:val="0"/>
                <w:szCs w:val="21"/>
              </w:rPr>
              <w:t>的初治成人</w:t>
            </w:r>
            <w:r>
              <w:rPr>
                <w:color w:val="000000"/>
                <w:kern w:val="0"/>
                <w:szCs w:val="21"/>
              </w:rPr>
              <w:t>HIV-1</w:t>
            </w:r>
            <w:r>
              <w:rPr>
                <w:rFonts w:ascii="宋体" w:hAnsi="宋体" w:cs="宋体" w:hint="eastAsia"/>
                <w:color w:val="000000"/>
                <w:kern w:val="0"/>
                <w:szCs w:val="21"/>
              </w:rPr>
              <w:t>感染的患者</w:t>
            </w:r>
          </w:p>
        </w:tc>
        <w:tc>
          <w:tcPr>
            <w:tcW w:w="1276" w:type="dxa"/>
            <w:tcBorders>
              <w:top w:val="nil"/>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Patheon Inc.</w:t>
            </w:r>
          </w:p>
        </w:tc>
        <w:tc>
          <w:tcPr>
            <w:tcW w:w="1134"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nil"/>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H20150684</w:t>
            </w:r>
          </w:p>
        </w:tc>
      </w:tr>
      <w:tr w:rsidR="007738E7" w:rsidTr="007738E7">
        <w:trPr>
          <w:trHeight w:val="6803"/>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lastRenderedPageBreak/>
              <w:t>13</w:t>
            </w:r>
          </w:p>
        </w:tc>
        <w:tc>
          <w:tcPr>
            <w:tcW w:w="805"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按药品管理的体外诊断试剂</w:t>
            </w:r>
          </w:p>
        </w:tc>
        <w:tc>
          <w:tcPr>
            <w:tcW w:w="1231"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乙型肝炎病毒、丙型肝炎病毒、人类免疫缺陷病毒（1+2型）核酸检测试剂盒（TMA-化学发光法）</w:t>
            </w:r>
          </w:p>
        </w:tc>
        <w:tc>
          <w:tcPr>
            <w:tcW w:w="1599"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ProcleixUltrio Elite Assay</w:t>
            </w:r>
          </w:p>
        </w:tc>
        <w:tc>
          <w:tcPr>
            <w:tcW w:w="1043"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按药品管理的体外诊断试剂</w:t>
            </w:r>
          </w:p>
        </w:tc>
        <w:tc>
          <w:tcPr>
            <w:tcW w:w="145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1000测试/盒</w:t>
            </w:r>
          </w:p>
        </w:tc>
        <w:tc>
          <w:tcPr>
            <w:tcW w:w="954"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诊断试剂盒</w:t>
            </w:r>
          </w:p>
        </w:tc>
        <w:tc>
          <w:tcPr>
            <w:tcW w:w="2126" w:type="dxa"/>
            <w:tcBorders>
              <w:top w:val="single" w:sz="4" w:space="0" w:color="auto"/>
              <w:left w:val="nil"/>
              <w:bottom w:val="single" w:sz="4" w:space="0" w:color="auto"/>
              <w:right w:val="single" w:sz="4" w:space="0" w:color="auto"/>
            </w:tcBorders>
            <w:vAlign w:val="center"/>
            <w:hideMark/>
          </w:tcPr>
          <w:p w:rsidR="007738E7" w:rsidRDefault="007738E7">
            <w:pPr>
              <w:widowControl/>
              <w:jc w:val="left"/>
              <w:rPr>
                <w:rFonts w:ascii="宋体" w:hAnsi="宋体" w:cs="宋体"/>
                <w:color w:val="000000"/>
                <w:kern w:val="0"/>
                <w:szCs w:val="21"/>
              </w:rPr>
            </w:pPr>
            <w:r>
              <w:rPr>
                <w:rFonts w:ascii="宋体" w:hAnsi="宋体" w:cs="宋体" w:hint="eastAsia"/>
                <w:color w:val="000000"/>
                <w:kern w:val="0"/>
                <w:szCs w:val="21"/>
              </w:rPr>
              <w:t>ProcleixUltrio Elite Assay*是一种体外核酸扩增定性检测试剂，用于在从人类献血者采集的血浆和血清样本中检测1型人类免疫缺陷病毒和2型人类免疫缺陷病毒（HIV）RNA、丙型肝炎病毒（HCV）RNA和乙型肝炎病毒（HBV）DNA，可以单人份或以混样形式检测。它不适用于脐血样品。该化验可用在血液中心/血站测试个体血浆样本或多个合并在一起的混合样本。混合的样本不得超过16个单独的样本，且每个样本必须同等体积。</w:t>
            </w:r>
            <w:r>
              <w:rPr>
                <w:rFonts w:ascii="宋体" w:hAnsi="宋体" w:cs="宋体" w:hint="eastAsia"/>
                <w:color w:val="000000"/>
                <w:kern w:val="0"/>
                <w:szCs w:val="21"/>
              </w:rPr>
              <w:br/>
              <w:t>该检测不适用临床辅助诊断</w:t>
            </w:r>
          </w:p>
        </w:tc>
        <w:tc>
          <w:tcPr>
            <w:tcW w:w="1276"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Gen-Probe Incorporated</w:t>
            </w:r>
          </w:p>
        </w:tc>
        <w:tc>
          <w:tcPr>
            <w:tcW w:w="1134"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vAlign w:val="center"/>
            <w:hideMark/>
          </w:tcPr>
          <w:p w:rsidR="007738E7" w:rsidRDefault="007738E7">
            <w:pPr>
              <w:widowControl/>
              <w:jc w:val="center"/>
              <w:rPr>
                <w:rFonts w:ascii="宋体" w:hAnsi="宋体" w:cs="宋体"/>
                <w:color w:val="000000"/>
                <w:kern w:val="0"/>
                <w:szCs w:val="21"/>
              </w:rPr>
            </w:pPr>
            <w:r>
              <w:rPr>
                <w:rFonts w:ascii="宋体" w:hAnsi="宋体" w:cs="宋体" w:hint="eastAsia"/>
                <w:color w:val="000000"/>
                <w:kern w:val="0"/>
                <w:szCs w:val="21"/>
              </w:rPr>
              <w:t>S20150069</w:t>
            </w:r>
          </w:p>
        </w:tc>
      </w:tr>
    </w:tbl>
    <w:p w:rsidR="00093288" w:rsidRPr="007738E7" w:rsidRDefault="00093288" w:rsidP="00427854"/>
    <w:sectPr w:rsidR="00093288" w:rsidRPr="007738E7" w:rsidSect="0042785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F00" w:rsidRDefault="00D80F00" w:rsidP="00427854">
      <w:r>
        <w:separator/>
      </w:r>
    </w:p>
  </w:endnote>
  <w:endnote w:type="continuationSeparator" w:id="1">
    <w:p w:rsidR="00D80F00" w:rsidRDefault="00D80F00" w:rsidP="00427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F00" w:rsidRDefault="00D80F00" w:rsidP="00427854">
      <w:r>
        <w:separator/>
      </w:r>
    </w:p>
  </w:footnote>
  <w:footnote w:type="continuationSeparator" w:id="1">
    <w:p w:rsidR="00D80F00" w:rsidRDefault="00D80F00" w:rsidP="00427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3B7"/>
    <w:rsid w:val="00093288"/>
    <w:rsid w:val="00427854"/>
    <w:rsid w:val="007738E7"/>
    <w:rsid w:val="00A344D3"/>
    <w:rsid w:val="00C523B7"/>
    <w:rsid w:val="00D80F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738E7"/>
    <w:rPr>
      <w:color w:val="0000FF"/>
      <w:u w:val="single"/>
    </w:rPr>
  </w:style>
  <w:style w:type="paragraph" w:styleId="a4">
    <w:name w:val="Balloon Text"/>
    <w:basedOn w:val="a"/>
    <w:link w:val="Char"/>
    <w:uiPriority w:val="99"/>
    <w:semiHidden/>
    <w:unhideWhenUsed/>
    <w:rsid w:val="007738E7"/>
    <w:rPr>
      <w:sz w:val="18"/>
      <w:szCs w:val="18"/>
    </w:rPr>
  </w:style>
  <w:style w:type="character" w:customStyle="1" w:styleId="Char">
    <w:name w:val="批注框文本 Char"/>
    <w:basedOn w:val="a0"/>
    <w:link w:val="a4"/>
    <w:uiPriority w:val="99"/>
    <w:semiHidden/>
    <w:rsid w:val="007738E7"/>
    <w:rPr>
      <w:rFonts w:ascii="Times New Roman" w:eastAsia="宋体" w:hAnsi="Times New Roman" w:cs="Times New Roman"/>
      <w:sz w:val="18"/>
      <w:szCs w:val="18"/>
    </w:rPr>
  </w:style>
  <w:style w:type="paragraph" w:styleId="a5">
    <w:name w:val="header"/>
    <w:basedOn w:val="a"/>
    <w:link w:val="Char0"/>
    <w:uiPriority w:val="99"/>
    <w:semiHidden/>
    <w:unhideWhenUsed/>
    <w:rsid w:val="004278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27854"/>
    <w:rPr>
      <w:rFonts w:ascii="Times New Roman" w:eastAsia="宋体" w:hAnsi="Times New Roman" w:cs="Times New Roman"/>
      <w:sz w:val="18"/>
      <w:szCs w:val="18"/>
    </w:rPr>
  </w:style>
  <w:style w:type="paragraph" w:styleId="a6">
    <w:name w:val="footer"/>
    <w:basedOn w:val="a"/>
    <w:link w:val="Char1"/>
    <w:uiPriority w:val="99"/>
    <w:semiHidden/>
    <w:unhideWhenUsed/>
    <w:rsid w:val="0042785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2785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738E7"/>
    <w:rPr>
      <w:color w:val="0000FF"/>
      <w:u w:val="single"/>
    </w:rPr>
  </w:style>
  <w:style w:type="paragraph" w:styleId="a4">
    <w:name w:val="Balloon Text"/>
    <w:basedOn w:val="a"/>
    <w:link w:val="Char"/>
    <w:uiPriority w:val="99"/>
    <w:semiHidden/>
    <w:unhideWhenUsed/>
    <w:rsid w:val="007738E7"/>
    <w:rPr>
      <w:sz w:val="18"/>
      <w:szCs w:val="18"/>
    </w:rPr>
  </w:style>
  <w:style w:type="character" w:customStyle="1" w:styleId="Char">
    <w:name w:val="批注框文本 Char"/>
    <w:basedOn w:val="a0"/>
    <w:link w:val="a4"/>
    <w:uiPriority w:val="99"/>
    <w:semiHidden/>
    <w:rsid w:val="007738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723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348</Words>
  <Characters>1984</Characters>
  <Application>Microsoft Office Word</Application>
  <DocSecurity>0</DocSecurity>
  <Lines>16</Lines>
  <Paragraphs>4</Paragraphs>
  <ScaleCrop>false</ScaleCrop>
  <Company>CFDA</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3</cp:revision>
  <dcterms:created xsi:type="dcterms:W3CDTF">2016-01-15T08:13:00Z</dcterms:created>
  <dcterms:modified xsi:type="dcterms:W3CDTF">2016-01-15T09:32:00Z</dcterms:modified>
</cp:coreProperties>
</file>