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hint="eastAsia"/>
        </w:rPr>
      </w:pPr>
      <w:r>
        <w:rPr>
          <w:rFonts w:hint="eastAsia" w:ascii="微软雅黑" w:hAnsi="微软雅黑" w:eastAsia="微软雅黑" w:cs="微软雅黑"/>
          <w:b/>
          <w:bCs/>
          <w:sz w:val="36"/>
          <w:szCs w:val="36"/>
        </w:rPr>
        <w:t>国家药监局已批准42个新冠病毒抗原检测试剂</w:t>
      </w:r>
      <w:r>
        <w:rPr>
          <w:rFonts w:hint="eastAsia"/>
        </w:rPr>
        <w:t xml:space="preserve"> </w:t>
      </w:r>
    </w:p>
    <w:p>
      <w:pPr>
        <w:ind w:firstLine="210" w:firstLineChars="100"/>
        <w:rPr>
          <w:rFonts w:hint="eastAsia"/>
        </w:rPr>
      </w:pPr>
    </w:p>
    <w:p>
      <w:pPr>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截止到2022年12月12日，国家药监局已经批准了42个</w:t>
      </w:r>
      <w:r>
        <w:rPr>
          <w:rFonts w:hint="eastAsia" w:ascii="微软雅黑" w:hAnsi="微软雅黑" w:eastAsia="微软雅黑" w:cs="微软雅黑"/>
          <w:i w:val="0"/>
          <w:iCs w:val="0"/>
          <w:caps w:val="0"/>
          <w:color w:val="000000"/>
          <w:spacing w:val="0"/>
          <w:sz w:val="24"/>
          <w:szCs w:val="24"/>
          <w:shd w:val="clear" w:fill="FFFFFF"/>
        </w:rPr>
        <w:t>新冠病毒抗原检测试剂产品</w:t>
      </w:r>
      <w:r>
        <w:rPr>
          <w:rFonts w:hint="eastAsia" w:ascii="微软雅黑" w:hAnsi="微软雅黑" w:eastAsia="微软雅黑" w:cs="微软雅黑"/>
          <w:i w:val="0"/>
          <w:iCs w:val="0"/>
          <w:caps w:val="0"/>
          <w:color w:val="000000"/>
          <w:spacing w:val="0"/>
          <w:sz w:val="24"/>
          <w:szCs w:val="24"/>
          <w:shd w:val="clear" w:fill="FFFFFF"/>
          <w:lang w:eastAsia="zh-CN"/>
        </w:rPr>
        <w:t>，</w:t>
      </w:r>
      <w:r>
        <w:rPr>
          <w:rFonts w:hint="eastAsia" w:ascii="微软雅黑" w:hAnsi="微软雅黑" w:eastAsia="微软雅黑" w:cs="微软雅黑"/>
          <w:i w:val="0"/>
          <w:iCs w:val="0"/>
          <w:caps w:val="0"/>
          <w:color w:val="000000"/>
          <w:spacing w:val="0"/>
          <w:sz w:val="24"/>
          <w:szCs w:val="24"/>
          <w:shd w:val="clear" w:fill="FFFFFF"/>
          <w:lang w:val="en-US" w:eastAsia="zh-CN"/>
        </w:rPr>
        <w:t>详情请看以下内容：</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333333"/>
          <w:spacing w:val="0"/>
          <w:sz w:val="26"/>
          <w:szCs w:val="26"/>
        </w:rPr>
      </w:pPr>
      <w:r>
        <w:drawing>
          <wp:inline distT="0" distB="0" distL="114300" distR="114300">
            <wp:extent cx="5272405" cy="1165860"/>
            <wp:effectExtent l="0" t="0" r="1079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1165860"/>
                    </a:xfrm>
                    <a:prstGeom prst="rect">
                      <a:avLst/>
                    </a:prstGeom>
                    <a:noFill/>
                    <a:ln>
                      <a:noFill/>
                    </a:ln>
                  </pic:spPr>
                </pic:pic>
              </a:graphicData>
            </a:graphic>
          </wp:inline>
        </w:drawing>
      </w:r>
      <w:r>
        <w:rPr>
          <w:rFonts w:hint="eastAsia" w:ascii="微软雅黑" w:hAnsi="微软雅黑" w:eastAsia="微软雅黑" w:cs="微软雅黑"/>
          <w:b w:val="0"/>
          <w:bCs w:val="0"/>
          <w:i w:val="0"/>
          <w:iCs w:val="0"/>
          <w:caps w:val="0"/>
          <w:color w:val="333333"/>
          <w:spacing w:val="0"/>
          <w:sz w:val="26"/>
          <w:szCs w:val="26"/>
          <w:bdr w:val="none" w:color="auto" w:sz="0" w:space="0"/>
          <w:shd w:val="clear" w:fill="FFFFFF"/>
        </w:rPr>
        <w:t>国家药监局已批准42个新冠病毒抗原检测试剂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40" w:type="dxa"/>
            </w:tcMar>
            <w:vAlign w:val="center"/>
          </w:tcPr>
          <w:p>
            <w:pPr>
              <w:keepNext w:val="0"/>
              <w:keepLines w:val="0"/>
              <w:widowControl/>
              <w:suppressLineNumbers w:val="0"/>
              <w:spacing w:before="0" w:beforeAutospacing="0" w:after="0" w:afterAutospacing="0"/>
              <w:ind w:left="0" w:right="0"/>
              <w:jc w:val="left"/>
            </w:pPr>
          </w:p>
        </w:tc>
        <w:tc>
          <w:tcPr>
            <w:tcW w:w="0" w:type="auto"/>
            <w:shd w:val="clear"/>
            <w:vAlign w:val="center"/>
          </w:tcPr>
          <w:p>
            <w:pPr>
              <w:keepNext w:val="0"/>
              <w:keepLines w:val="0"/>
              <w:widowControl/>
              <w:suppressLineNumbers w:val="0"/>
              <w:spacing w:before="0" w:beforeAutospacing="0" w:after="0" w:afterAutospacing="0"/>
              <w:ind w:left="0" w:right="0"/>
              <w:jc w:val="left"/>
            </w:pPr>
          </w:p>
        </w:tc>
      </w:tr>
    </w:tbl>
    <w:p>
      <w:pPr>
        <w:keepNext w:val="0"/>
        <w:keepLines w:val="0"/>
        <w:widowControl/>
        <w:suppressLineNumbers w:val="0"/>
        <w:pBdr>
          <w:top w:val="single" w:color="989898" w:sz="4" w:space="4"/>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right"/>
        <w:rPr>
          <w:rFonts w:hint="eastAsia" w:ascii="微软雅黑" w:hAnsi="微软雅黑" w:eastAsia="微软雅黑" w:cs="微软雅黑"/>
          <w:i w:val="0"/>
          <w:iCs w:val="0"/>
          <w:caps w:val="0"/>
          <w:color w:val="919191"/>
          <w:spacing w:val="0"/>
          <w:sz w:val="14"/>
          <w:szCs w:val="14"/>
        </w:rPr>
      </w:pPr>
      <w:r>
        <w:rPr>
          <w:rFonts w:hint="eastAsia" w:ascii="微软雅黑" w:hAnsi="微软雅黑" w:eastAsia="微软雅黑" w:cs="微软雅黑"/>
          <w:i w:val="0"/>
          <w:iCs w:val="0"/>
          <w:caps w:val="0"/>
          <w:color w:val="919191"/>
          <w:spacing w:val="0"/>
          <w:kern w:val="0"/>
          <w:sz w:val="14"/>
          <w:szCs w:val="14"/>
          <w:bdr w:val="none" w:color="auto" w:sz="0" w:space="0"/>
          <w:shd w:val="clear" w:fill="FFFFFF"/>
          <w:lang w:val="en-US" w:eastAsia="zh-CN" w:bidi="ar"/>
        </w:rPr>
        <w:t>文章来源：国家药品监督管理局 发布时间：2022-12-12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60" w:afterAutospacing="0" w:line="320" w:lineRule="atLeast"/>
        <w:ind w:left="0" w:right="0"/>
        <w:rPr>
          <w:color w:val="000000"/>
          <w:sz w:val="24"/>
          <w:szCs w:val="24"/>
        </w:rPr>
      </w:pPr>
      <w:r>
        <w:rPr>
          <w:rFonts w:hint="eastAsia" w:ascii="微软雅黑" w:hAnsi="微软雅黑" w:eastAsia="微软雅黑" w:cs="微软雅黑"/>
          <w:i w:val="0"/>
          <w:iCs w:val="0"/>
          <w:caps w:val="0"/>
          <w:color w:val="000000"/>
          <w:spacing w:val="0"/>
          <w:sz w:val="16"/>
          <w:szCs w:val="16"/>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t>　12月12日，经国家药监局审查，批准郑州安图生物工程股份有限公司和厦门为正生物科技股份有限公司的2个新冠病毒抗原检测试剂产品。截至目前，国家药监局已批准42个新冠病毒抗原检测试剂产品。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药品监督管理部门将加强相关产品上市后监管，保护患者用械安全。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6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shd w:val="clear" w:fill="FFFFFF"/>
        </w:rPr>
        <w:drawing>
          <wp:inline distT="0" distB="0" distL="114300" distR="114300">
            <wp:extent cx="152400" cy="152400"/>
            <wp:effectExtent l="0" t="0" r="0" b="0"/>
            <wp:docPr id="6"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instrText xml:space="preserve"> HYPERLINK "https://www.nmpa.gov.cn/directory/web/nmpa/images/1670833069482044712.docx" \o "附件：国家药监局已批准的新冠病毒抗原检测试剂.docx" </w:instrText>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66CC"/>
          <w:spacing w:val="0"/>
          <w:sz w:val="24"/>
          <w:szCs w:val="24"/>
          <w:u w:val="none"/>
          <w:bdr w:val="none" w:color="auto" w:sz="0" w:space="0"/>
          <w:shd w:val="clear" w:fill="FFFFFF"/>
        </w:rPr>
        <w:t>附件：国家药监局已批准的新冠病毒抗原检测试剂.docx</w:t>
      </w:r>
      <w:r>
        <w:rPr>
          <w:rFonts w:hint="eastAsia" w:ascii="微软雅黑" w:hAnsi="微软雅黑" w:eastAsia="微软雅黑" w:cs="微软雅黑"/>
          <w:i w:val="0"/>
          <w:iCs w:val="0"/>
          <w:caps w:val="0"/>
          <w:color w:val="0066CC"/>
          <w:spacing w:val="0"/>
          <w:sz w:val="24"/>
          <w:szCs w:val="24"/>
          <w:u w:val="none"/>
          <w:bdr w:val="none" w:color="auto" w:sz="0" w:space="0"/>
          <w:shd w:val="clear" w:fill="FFFFFF"/>
        </w:rPr>
        <w:fldChar w:fldCharType="end"/>
      </w:r>
    </w:p>
    <w:p>
      <w:pPr>
        <w:rPr>
          <w:rFonts w:hint="eastAsia"/>
        </w:rPr>
      </w:pPr>
    </w:p>
    <w:p>
      <w:pPr>
        <w:ind w:firstLine="1680" w:firstLineChars="800"/>
        <w:rPr>
          <w:rFonts w:hint="eastAsia"/>
        </w:rPr>
      </w:pPr>
    </w:p>
    <w:p>
      <w:pPr>
        <w:spacing w:after="156" w:afterLines="50"/>
        <w:ind w:firstLine="646"/>
        <w:jc w:val="center"/>
        <w:rPr>
          <w:rFonts w:ascii="Times New Roman" w:hAnsi="Times New Roman" w:eastAsia="仿宋_GB2312"/>
          <w:kern w:val="0"/>
          <w:sz w:val="32"/>
          <w:szCs w:val="32"/>
        </w:rPr>
      </w:pPr>
      <w:r>
        <w:rPr>
          <w:rFonts w:hint="eastAsia" w:ascii="方正小标宋简体" w:hAnsi="方正小标宋简体" w:eastAsia="方正小标宋简体" w:cs="方正小标宋简体"/>
          <w:kern w:val="0"/>
          <w:sz w:val="32"/>
          <w:szCs w:val="32"/>
        </w:rPr>
        <w:t>国家药监局已批准新冠病毒抗原检测试剂</w:t>
      </w:r>
    </w:p>
    <w:tbl>
      <w:tblPr>
        <w:tblStyle w:val="5"/>
        <w:tblW w:w="9801" w:type="dxa"/>
        <w:jc w:val="center"/>
        <w:tblLayout w:type="fixed"/>
        <w:tblCellMar>
          <w:top w:w="0" w:type="dxa"/>
          <w:left w:w="108" w:type="dxa"/>
          <w:bottom w:w="0" w:type="dxa"/>
          <w:right w:w="108" w:type="dxa"/>
        </w:tblCellMar>
      </w:tblPr>
      <w:tblGrid>
        <w:gridCol w:w="959"/>
        <w:gridCol w:w="3431"/>
        <w:gridCol w:w="2400"/>
        <w:gridCol w:w="2775"/>
        <w:gridCol w:w="236"/>
      </w:tblGrid>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序号</w:t>
            </w:r>
          </w:p>
        </w:tc>
        <w:tc>
          <w:tcPr>
            <w:tcW w:w="34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产品名称</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注册人</w:t>
            </w:r>
          </w:p>
        </w:tc>
        <w:tc>
          <w:tcPr>
            <w:tcW w:w="2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注册证号</w:t>
            </w:r>
          </w:p>
        </w:tc>
      </w:tr>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广州万孚生物技术股份有限公司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国械注准20203400830</w:t>
            </w:r>
          </w:p>
        </w:tc>
      </w:tr>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新型冠状病毒（2019-nCoV）抗原检测试剂盒（乳胶法）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北京金沃夫生物工程科技有限公司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国械注准20203400831</w:t>
            </w:r>
          </w:p>
        </w:tc>
      </w:tr>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新型冠状病毒（2019-nCoV）抗原检测试剂盒（荧光免疫层析法）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深圳华大因源医药科技有限公司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国械注准20203400940</w:t>
            </w:r>
          </w:p>
        </w:tc>
      </w:tr>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新型冠状病毒（2019-nCoV）抗原检测试剂盒（荧光免疫层析法）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北京华科泰生物技术股份有限公司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国械注准20223400308</w:t>
            </w:r>
          </w:p>
        </w:tc>
      </w:tr>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南京诺唯赞医疗科技有限公司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国械注准20223400346</w:t>
            </w:r>
          </w:p>
        </w:tc>
      </w:tr>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6</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天津博奥赛斯生物科技股份有限公司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国械注准20223400347</w:t>
            </w:r>
          </w:p>
        </w:tc>
      </w:tr>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7</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北京热景生物技术股份有限公司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国械注准20223400348</w:t>
            </w:r>
          </w:p>
        </w:tc>
      </w:tr>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8</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重庆明道捷测生物科技有限公司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国械注准20223400349</w:t>
            </w:r>
          </w:p>
        </w:tc>
      </w:tr>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9</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北京乐普诊断科技股份有限公司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国械注准20223400350</w:t>
            </w:r>
          </w:p>
        </w:tc>
      </w:tr>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10</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北京万泰生物药业股份有限公司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国械注准20223400351</w:t>
            </w:r>
          </w:p>
        </w:tc>
      </w:tr>
      <w:tr>
        <w:tblPrEx>
          <w:tblCellMar>
            <w:top w:w="0" w:type="dxa"/>
            <w:left w:w="108" w:type="dxa"/>
            <w:bottom w:w="0" w:type="dxa"/>
            <w:right w:w="108" w:type="dxa"/>
          </w:tblCellMar>
        </w:tblPrEx>
        <w:trPr>
          <w:gridAfter w:val="1"/>
          <w:wAfter w:w="236" w:type="dxa"/>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11</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浙江东方基因生物制品股份有限公司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国械注准20223400359</w:t>
            </w: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12</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武汉明德生物科技股份有限公司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国械注准20223400360</w:t>
            </w:r>
          </w:p>
        </w:tc>
        <w:tc>
          <w:tcPr>
            <w:tcW w:w="236" w:type="dxa"/>
            <w:vAlign w:val="center"/>
          </w:tcPr>
          <w:p>
            <w:pPr>
              <w:widowControl/>
              <w:jc w:val="center"/>
              <w:rPr>
                <w:rFonts w:hint="eastAsia" w:ascii="微软雅黑" w:hAnsi="微软雅黑" w:eastAsia="微软雅黑" w:cs="微软雅黑"/>
                <w:color w:val="000000"/>
                <w:kern w:val="0"/>
                <w:sz w:val="24"/>
                <w:szCs w:val="24"/>
              </w:rPr>
            </w:pPr>
          </w:p>
          <w:p>
            <w:pPr>
              <w:widowControl/>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13</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新型冠状病毒（2019-nCoV）抗原检测试剂盒（乳胶法）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艾康生物技术（杭州）有限公司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国械注准20223400361</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14</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中元汇吉生物技术股份有限公司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国械注准20223400365</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15</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厦门奥德生物科技有限公司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国械注准20223400378</w:t>
            </w:r>
          </w:p>
        </w:tc>
        <w:tc>
          <w:tcPr>
            <w:tcW w:w="236" w:type="dxa"/>
            <w:vAlign w:val="center"/>
          </w:tcPr>
          <w:p>
            <w:pPr>
              <w:widowControl/>
              <w:jc w:val="center"/>
              <w:rPr>
                <w:rFonts w:hint="eastAsia" w:ascii="微软雅黑" w:hAnsi="微软雅黑" w:eastAsia="微软雅黑" w:cs="微软雅黑"/>
                <w:color w:val="000000"/>
                <w:kern w:val="0"/>
                <w:sz w:val="24"/>
                <w:szCs w:val="24"/>
              </w:rPr>
            </w:pPr>
          </w:p>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16</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山东康华生物医疗科技股份有限公司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国械注准20223400379</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17</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新型冠状病毒（2019-nCoV）抗原检测试剂盒（乳胶法）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杭州奥泰生物技术股份有限公司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国械注准20223400380</w:t>
            </w:r>
          </w:p>
        </w:tc>
        <w:tc>
          <w:tcPr>
            <w:tcW w:w="236" w:type="dxa"/>
            <w:vAlign w:val="center"/>
          </w:tcPr>
          <w:p>
            <w:pPr>
              <w:widowControl/>
              <w:jc w:val="center"/>
              <w:rPr>
                <w:rFonts w:hint="eastAsia" w:ascii="微软雅黑" w:hAnsi="微软雅黑" w:eastAsia="微软雅黑" w:cs="微软雅黑"/>
                <w:color w:val="000000"/>
                <w:kern w:val="0"/>
                <w:sz w:val="24"/>
                <w:szCs w:val="24"/>
              </w:rPr>
            </w:pPr>
          </w:p>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18</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新型冠状病毒（2019-nCoV）抗原检测试剂盒（荧光免疫层析法）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深圳市易瑞生物技术股份有限公司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国械注准20223400394</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19</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深圳市亚辉龙生物科技股份有限公司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国械注准20223400395</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20</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新型冠状病毒（2019-nCoV）抗原检测试剂盒（乳胶法）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英诺特（唐山）生物技术有限公司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国械注准20223400404</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21</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北京卓诚惠生生物科技股份有限公司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国械注准20223400407</w:t>
            </w:r>
          </w:p>
        </w:tc>
        <w:tc>
          <w:tcPr>
            <w:tcW w:w="236" w:type="dxa"/>
            <w:vAlign w:val="center"/>
          </w:tcPr>
          <w:p>
            <w:pPr>
              <w:widowControl/>
              <w:jc w:val="center"/>
              <w:rPr>
                <w:rFonts w:hint="eastAsia" w:ascii="微软雅黑" w:hAnsi="微软雅黑" w:eastAsia="微软雅黑" w:cs="微软雅黑"/>
                <w:color w:val="000000"/>
                <w:kern w:val="0"/>
                <w:sz w:val="24"/>
                <w:szCs w:val="24"/>
              </w:rPr>
            </w:pPr>
          </w:p>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22</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上海芯超生物科技有限公司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国械注准20223400426</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23</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南京申基医药科技有限公司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国械注准20223400427</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24</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rPr>
              <w:t>山东博科诊断科技有限公司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国械注准20223400430</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25</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新型冠状病毒（2019-nCoV）抗原检测试剂盒（乳胶法）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珠海丽珠试剂股份有限公司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国械注准20223400470</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26</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上海伯杰医疗科技股份有限公司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国械注准20223400471</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27</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复星诊断科技（上海）有限公司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国械注准20223400504</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28</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新型冠状病毒（2019-nCoV）抗原检测试剂盒（乳胶法）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河北精硕生物科技有限公司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国械注准20223400507</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29</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新型冠状病毒（2019-nCoV）抗原检测试剂盒（乳胶法）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海孵（海南自贸区）医疗科技有限责任公司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国械注准20223400508</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30</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武汉生之源生物科技股份有限公司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国械注准20223400567</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31</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上海科华生物工程股份有限公司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国械注准20223400568</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32</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厦门宝太生物科技股份有限公司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国械注准20223400682</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33</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上海之江生物科技股份有限公司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国械注准20223401080</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34</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无锡科智达科技有限公司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国械注准20223401224</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35</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必欧瀚生物技术（合肥）有限公司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国械注准20223401539</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36</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江苏美克医学科技有限公司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国械注准20223401588</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37</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佰奥达生物科技（武汉）股份有限公司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国械注准20223401610</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38</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新型冠状病毒（2019-nCoV）抗原检测试剂盒（乳胶法）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基蛋生物科技股份有限公司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国械注准20223401613</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39</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泰普生物科学（中国）有限公司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国械注准20223401614</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40</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中山生物工程有限公司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国械注准20223401617</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41</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郑州安图生物工程股份有限公司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国械注准20223401620</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r>
        <w:tblPrEx>
          <w:tblCellMar>
            <w:top w:w="0" w:type="dxa"/>
            <w:left w:w="108" w:type="dxa"/>
            <w:bottom w:w="0" w:type="dxa"/>
            <w:right w:w="108" w:type="dxa"/>
          </w:tblCellMar>
        </w:tblPrEx>
        <w:trPr>
          <w:trHeight w:val="810"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42</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新型冠状病毒（2019-nCoV）抗原检测试剂盒（胶体金法）</w:t>
            </w:r>
          </w:p>
        </w:tc>
        <w:tc>
          <w:tcPr>
            <w:tcW w:w="2400"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厦门为正生物科技股份有限公司</w:t>
            </w:r>
          </w:p>
        </w:tc>
        <w:tc>
          <w:tcPr>
            <w:tcW w:w="27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国械注准20223401621</w:t>
            </w:r>
          </w:p>
        </w:tc>
        <w:tc>
          <w:tcPr>
            <w:tcW w:w="236" w:type="dxa"/>
            <w:vAlign w:val="center"/>
          </w:tcPr>
          <w:p>
            <w:pPr>
              <w:widowControl/>
              <w:jc w:val="center"/>
              <w:rPr>
                <w:rFonts w:hint="eastAsia" w:ascii="微软雅黑" w:hAnsi="微软雅黑" w:eastAsia="微软雅黑" w:cs="微软雅黑"/>
                <w:color w:val="000000"/>
                <w:kern w:val="0"/>
                <w:sz w:val="24"/>
                <w:szCs w:val="24"/>
              </w:rPr>
            </w:pPr>
          </w:p>
        </w:tc>
      </w:tr>
    </w:tbl>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_HKSCS-ExtB">
    <w:panose1 w:val="02020500000000000000"/>
    <w:charset w:val="88"/>
    <w:family w:val="auto"/>
    <w:pitch w:val="default"/>
    <w:sig w:usb0="8000002F" w:usb1="02000008" w:usb2="00000000" w:usb3="00000000" w:csb0="0010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YzYwOTY0NzVkMmJkMzI2MTczNThiMDVkZmJkNTEifQ=="/>
  </w:docVars>
  <w:rsids>
    <w:rsidRoot w:val="754E4C2C"/>
    <w:rsid w:val="754E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2022-12-13T02:15:00Z</dcterms:created>
  <dc:creator>象</dc:creator>
  <cp:lastModifiedBy>象</cp:lastModifiedBy>
  <dcterms:modified xsi:type="dcterms:W3CDTF">2022-12-13T02:25:12Z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19C0452A39E64568B03452A7E41809DC</vt:lpwstr>
  </property>
</Properties>
</file>